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69BE" w14:textId="4DCA019E" w:rsidR="006E596A" w:rsidRPr="00B512D8" w:rsidRDefault="00084C2D" w:rsidP="008161CD">
      <w:pPr>
        <w:pStyle w:val="Heading3"/>
        <w:jc w:val="center"/>
      </w:pPr>
      <w:r>
        <w:t>Extension Activity</w:t>
      </w:r>
      <w:bookmarkStart w:id="0" w:name="_GoBack"/>
      <w:bookmarkEnd w:id="0"/>
    </w:p>
    <w:p w14:paraId="4846A270" w14:textId="23E43AA2" w:rsidR="008161CD" w:rsidRPr="00A06912" w:rsidRDefault="00084C2D" w:rsidP="008161CD">
      <w:pPr>
        <w:pStyle w:val="Title"/>
        <w:jc w:val="center"/>
      </w:pPr>
      <w:r w:rsidRPr="00084C2D">
        <w:t xml:space="preserve">Little wonder: pH experiments the microscale way </w:t>
      </w:r>
    </w:p>
    <w:p w14:paraId="6D4C69E0" w14:textId="77777777" w:rsidR="00017E8D" w:rsidRDefault="00017E8D" w:rsidP="008161CD">
      <w:pPr>
        <w:rPr>
          <w:rFonts w:eastAsia="MS Gothic"/>
          <w:b/>
          <w:bCs/>
          <w:color w:val="4F81BD"/>
          <w:sz w:val="28"/>
          <w:szCs w:val="26"/>
        </w:rPr>
      </w:pPr>
      <w:r w:rsidRPr="00017E8D">
        <w:rPr>
          <w:rFonts w:eastAsia="MS Gothic"/>
          <w:b/>
          <w:bCs/>
          <w:color w:val="4F81BD"/>
          <w:sz w:val="28"/>
          <w:szCs w:val="26"/>
        </w:rPr>
        <w:t>Making a pH profile of a natural indicator</w:t>
      </w:r>
    </w:p>
    <w:p w14:paraId="2128D81C" w14:textId="44527952" w:rsidR="00256461" w:rsidRPr="00256461" w:rsidRDefault="00256461" w:rsidP="00256461">
      <w:pPr>
        <w:pStyle w:val="Heading3"/>
        <w:rPr>
          <w:b w:val="0"/>
          <w:color w:val="auto"/>
          <w:lang w:val="en-GB"/>
        </w:rPr>
      </w:pPr>
      <w:r w:rsidRPr="00256461">
        <w:rPr>
          <w:b w:val="0"/>
          <w:color w:val="auto"/>
          <w:lang w:val="en-GB"/>
        </w:rPr>
        <w:t xml:space="preserve">Nature has its own acid/base indicators as chemicals in flowers, fruit skins, and leaves. Red cabbage leaves are the most commonly used example but investigating other materials makes for an open-ended chemistry </w:t>
      </w:r>
      <w:proofErr w:type="gramStart"/>
      <w:r w:rsidRPr="00256461">
        <w:rPr>
          <w:b w:val="0"/>
          <w:color w:val="auto"/>
          <w:lang w:val="en-GB"/>
        </w:rPr>
        <w:t>lesson.</w:t>
      </w:r>
      <w:r w:rsidRPr="00256461">
        <w:rPr>
          <w:b w:val="0"/>
          <w:color w:val="auto"/>
          <w:vertAlign w:val="superscript"/>
          <w:lang w:val="en-GB"/>
        </w:rPr>
        <w:t>[</w:t>
      </w:r>
      <w:proofErr w:type="gramEnd"/>
      <w:r w:rsidRPr="00256461">
        <w:rPr>
          <w:b w:val="0"/>
          <w:color w:val="auto"/>
          <w:vertAlign w:val="superscript"/>
          <w:lang w:val="en-GB"/>
        </w:rPr>
        <w:t>1]</w:t>
      </w:r>
      <w:r w:rsidRPr="00256461">
        <w:rPr>
          <w:b w:val="0"/>
          <w:color w:val="auto"/>
          <w:lang w:val="en-GB"/>
        </w:rPr>
        <w:t xml:space="preserve"> This makes a wonderful basis for investigations by students, as almost every sample is slightly different. There is a rival to red cabbage and that is the Butterfly Pea Flower, normally grown in Thailand, but now available online or in tea shops, because it is used in colourful teas and cocktails. The red leaves of the oxalis plant and poinsettias, or the flowers of lobelias, aubretia, and roses, are other good examples.</w:t>
      </w:r>
    </w:p>
    <w:p w14:paraId="4DA4DA63" w14:textId="01A23AE1" w:rsidR="00256461" w:rsidRPr="00256461" w:rsidRDefault="00256461" w:rsidP="00256461">
      <w:pPr>
        <w:pStyle w:val="Heading3"/>
        <w:rPr>
          <w:b w:val="0"/>
          <w:color w:val="auto"/>
          <w:lang w:val="en-GB"/>
        </w:rPr>
      </w:pPr>
      <w:r w:rsidRPr="00256461">
        <w:rPr>
          <w:b w:val="0"/>
          <w:color w:val="auto"/>
          <w:lang w:val="en-GB"/>
        </w:rPr>
        <w:t xml:space="preserve">The compounds responsible are </w:t>
      </w:r>
      <w:proofErr w:type="gramStart"/>
      <w:r w:rsidRPr="00256461">
        <w:rPr>
          <w:b w:val="0"/>
          <w:color w:val="auto"/>
          <w:lang w:val="en-GB"/>
        </w:rPr>
        <w:t>anthocyanins,</w:t>
      </w:r>
      <w:r w:rsidRPr="00256461">
        <w:rPr>
          <w:b w:val="0"/>
          <w:color w:val="auto"/>
          <w:vertAlign w:val="superscript"/>
          <w:lang w:val="en-GB"/>
        </w:rPr>
        <w:t>[</w:t>
      </w:r>
      <w:proofErr w:type="gramEnd"/>
      <w:r w:rsidRPr="00256461">
        <w:rPr>
          <w:b w:val="0"/>
          <w:color w:val="auto"/>
          <w:vertAlign w:val="superscript"/>
          <w:lang w:val="en-GB"/>
        </w:rPr>
        <w:t xml:space="preserve">2] </w:t>
      </w:r>
      <w:r w:rsidRPr="00256461">
        <w:rPr>
          <w:b w:val="0"/>
          <w:color w:val="auto"/>
          <w:lang w:val="en-GB"/>
        </w:rPr>
        <w:t xml:space="preserve">and Ref. [2] describes more of the chemistry involved. </w:t>
      </w:r>
    </w:p>
    <w:p w14:paraId="485ADEA8" w14:textId="77777777" w:rsidR="00256461" w:rsidRPr="00256461" w:rsidRDefault="00256461" w:rsidP="00256461">
      <w:pPr>
        <w:pStyle w:val="Heading2"/>
      </w:pPr>
      <w:r w:rsidRPr="00256461">
        <w:t xml:space="preserve">Safety notes </w:t>
      </w:r>
    </w:p>
    <w:p w14:paraId="611CB2F0" w14:textId="77777777" w:rsidR="00256461" w:rsidRPr="00256461" w:rsidRDefault="00256461" w:rsidP="00256461">
      <w:pPr>
        <w:pStyle w:val="Heading3"/>
        <w:rPr>
          <w:b w:val="0"/>
          <w:color w:val="auto"/>
          <w:lang w:val="en-GB"/>
        </w:rPr>
      </w:pPr>
      <w:r w:rsidRPr="00256461">
        <w:rPr>
          <w:b w:val="0"/>
          <w:color w:val="auto"/>
          <w:lang w:val="en-GB"/>
        </w:rPr>
        <w:t>The solutions and solids used are of low hazard, but eye protection should be worn.</w:t>
      </w:r>
    </w:p>
    <w:p w14:paraId="25098E36" w14:textId="77777777" w:rsidR="00256461" w:rsidRPr="00256461" w:rsidRDefault="00256461" w:rsidP="00256461">
      <w:pPr>
        <w:pStyle w:val="Heading3"/>
      </w:pPr>
      <w:r w:rsidRPr="00256461">
        <w:t>Materials</w:t>
      </w:r>
    </w:p>
    <w:p w14:paraId="7AA16C1B" w14:textId="0DF1F27C" w:rsidR="00256461" w:rsidRPr="00256461" w:rsidRDefault="00256461" w:rsidP="00A74A46">
      <w:pPr>
        <w:pStyle w:val="ListParagraph"/>
        <w:numPr>
          <w:ilvl w:val="0"/>
          <w:numId w:val="23"/>
        </w:numPr>
      </w:pPr>
      <w:r w:rsidRPr="00256461">
        <w:t>Strongly coloured flowers or fruit such as berries or grapes.</w:t>
      </w:r>
    </w:p>
    <w:p w14:paraId="1DBD3462" w14:textId="5BDEC197" w:rsidR="00256461" w:rsidRPr="00256461" w:rsidRDefault="00256461" w:rsidP="00A74A46">
      <w:pPr>
        <w:pStyle w:val="ListParagraph"/>
        <w:numPr>
          <w:ilvl w:val="0"/>
          <w:numId w:val="23"/>
        </w:numPr>
      </w:pPr>
      <w:r w:rsidRPr="00256461">
        <w:t>Small glass vial or test tube</w:t>
      </w:r>
    </w:p>
    <w:p w14:paraId="7E8F4EB7" w14:textId="0BB5AAE1" w:rsidR="00256461" w:rsidRPr="00256461" w:rsidRDefault="00256461" w:rsidP="00A74A46">
      <w:pPr>
        <w:pStyle w:val="ListParagraph"/>
        <w:numPr>
          <w:ilvl w:val="0"/>
          <w:numId w:val="23"/>
        </w:numPr>
      </w:pPr>
      <w:r w:rsidRPr="00256461">
        <w:t>Hot plate (optional)</w:t>
      </w:r>
    </w:p>
    <w:p w14:paraId="5ACBCEBF" w14:textId="5369383A" w:rsidR="00256461" w:rsidRPr="00256461" w:rsidRDefault="00256461" w:rsidP="00A74A46">
      <w:pPr>
        <w:pStyle w:val="ListParagraph"/>
        <w:numPr>
          <w:ilvl w:val="0"/>
          <w:numId w:val="23"/>
        </w:numPr>
      </w:pPr>
      <w:r w:rsidRPr="00256461">
        <w:t>Beaker and forceps (optional)</w:t>
      </w:r>
    </w:p>
    <w:p w14:paraId="57C7506C" w14:textId="069EF5A5" w:rsidR="00256461" w:rsidRPr="00256461" w:rsidRDefault="00256461" w:rsidP="00A74A46">
      <w:pPr>
        <w:pStyle w:val="ListParagraph"/>
        <w:numPr>
          <w:ilvl w:val="0"/>
          <w:numId w:val="23"/>
        </w:numPr>
      </w:pPr>
      <w:r w:rsidRPr="00256461">
        <w:t>Water</w:t>
      </w:r>
    </w:p>
    <w:p w14:paraId="146533AD" w14:textId="5967FD9D" w:rsidR="00256461" w:rsidRPr="00256461" w:rsidRDefault="005C48B0" w:rsidP="00A74A46">
      <w:pPr>
        <w:pStyle w:val="ListParagraph"/>
        <w:numPr>
          <w:ilvl w:val="0"/>
          <w:numId w:val="23"/>
        </w:numPr>
      </w:pPr>
      <w:hyperlink r:id="rId7" w:history="1">
        <w:r w:rsidR="00256461" w:rsidRPr="005C48B0">
          <w:rPr>
            <w:rStyle w:val="Hyperlink"/>
          </w:rPr>
          <w:t>Reaction sheet</w:t>
        </w:r>
      </w:hyperlink>
      <w:r w:rsidR="00256461" w:rsidRPr="00256461">
        <w:t>, laminated or in a plastic wallet</w:t>
      </w:r>
    </w:p>
    <w:p w14:paraId="097C31AB" w14:textId="5FB5237B" w:rsidR="00256461" w:rsidRPr="00256461" w:rsidRDefault="00256461" w:rsidP="00A74A46">
      <w:pPr>
        <w:pStyle w:val="ListParagraph"/>
        <w:numPr>
          <w:ilvl w:val="0"/>
          <w:numId w:val="23"/>
        </w:numPr>
      </w:pPr>
      <w:r w:rsidRPr="00256461">
        <w:t xml:space="preserve">A selection of buffers in dropper bottles </w:t>
      </w:r>
    </w:p>
    <w:p w14:paraId="7C8A1AF9" w14:textId="431F04D8" w:rsidR="00256461" w:rsidRPr="00256461" w:rsidRDefault="00256461" w:rsidP="00A74A46">
      <w:pPr>
        <w:pStyle w:val="ListParagraph"/>
        <w:numPr>
          <w:ilvl w:val="0"/>
          <w:numId w:val="23"/>
        </w:numPr>
      </w:pPr>
      <w:r w:rsidRPr="00256461">
        <w:t>Wooden splints or toothpicks</w:t>
      </w:r>
    </w:p>
    <w:p w14:paraId="18DF1448" w14:textId="6526FA9A" w:rsidR="00256461" w:rsidRPr="00256461" w:rsidRDefault="00256461" w:rsidP="00256461">
      <w:pPr>
        <w:pStyle w:val="Heading3"/>
        <w:rPr>
          <w:lang w:val="en-GB"/>
        </w:rPr>
      </w:pPr>
      <w:r w:rsidRPr="00256461">
        <w:t>Procedure</w:t>
      </w:r>
    </w:p>
    <w:p w14:paraId="4119C740" w14:textId="7C6E62B2" w:rsidR="00256461" w:rsidRPr="00256461" w:rsidRDefault="00256461" w:rsidP="00256461">
      <w:pPr>
        <w:pStyle w:val="ListParagraph"/>
        <w:numPr>
          <w:ilvl w:val="0"/>
          <w:numId w:val="16"/>
        </w:numPr>
      </w:pPr>
      <w:r w:rsidRPr="00256461">
        <w:t xml:space="preserve">Cut a flower head or leaf into pieces, or peel the skin from the fruit (e.g. black grape, blueberry) with blunt forceps. </w:t>
      </w:r>
    </w:p>
    <w:p w14:paraId="14FDCBD4" w14:textId="357D9028" w:rsidR="00256461" w:rsidRPr="00256461" w:rsidRDefault="00256461" w:rsidP="00256461">
      <w:pPr>
        <w:pStyle w:val="ListParagraph"/>
        <w:numPr>
          <w:ilvl w:val="0"/>
          <w:numId w:val="16"/>
        </w:numPr>
      </w:pPr>
      <w:r w:rsidRPr="00256461">
        <w:t>Place the pieces into a vial or test tube.</w:t>
      </w:r>
    </w:p>
    <w:p w14:paraId="678134DE" w14:textId="2D100EBF" w:rsidR="00256461" w:rsidRPr="00256461" w:rsidRDefault="00256461" w:rsidP="00256461">
      <w:pPr>
        <w:pStyle w:val="ListParagraph"/>
        <w:numPr>
          <w:ilvl w:val="0"/>
          <w:numId w:val="16"/>
        </w:numPr>
      </w:pPr>
      <w:r w:rsidRPr="00256461">
        <w:lastRenderedPageBreak/>
        <w:t>Add 3 ml of water and then place the vial on a hot plate until the water just boils, or insert the test tube into a beaker of boiling water for 1 min.</w:t>
      </w:r>
    </w:p>
    <w:p w14:paraId="62D612F8" w14:textId="5C128269" w:rsidR="00256461" w:rsidRPr="00256461" w:rsidRDefault="00256461" w:rsidP="00256461">
      <w:pPr>
        <w:pStyle w:val="ListParagraph"/>
        <w:numPr>
          <w:ilvl w:val="0"/>
          <w:numId w:val="16"/>
        </w:numPr>
      </w:pPr>
      <w:r w:rsidRPr="00256461">
        <w:t xml:space="preserve">Carefully remove the vial with forceps, or move the test tube to a holder, and allow to cool. </w:t>
      </w:r>
    </w:p>
    <w:p w14:paraId="49A2AAA1" w14:textId="4D21EBDB" w:rsidR="00256461" w:rsidRPr="00256461" w:rsidRDefault="00256461" w:rsidP="00256461">
      <w:pPr>
        <w:pStyle w:val="ListParagraph"/>
        <w:numPr>
          <w:ilvl w:val="0"/>
          <w:numId w:val="16"/>
        </w:numPr>
      </w:pPr>
      <w:r w:rsidRPr="00256461">
        <w:t>Insert the paper reaction sheet into a plastic folder.</w:t>
      </w:r>
    </w:p>
    <w:p w14:paraId="0078C9F8" w14:textId="2962181C" w:rsidR="00256461" w:rsidRPr="00256461" w:rsidRDefault="00256461" w:rsidP="00256461">
      <w:pPr>
        <w:pStyle w:val="ListParagraph"/>
        <w:numPr>
          <w:ilvl w:val="0"/>
          <w:numId w:val="16"/>
        </w:numPr>
      </w:pPr>
      <w:r w:rsidRPr="00256461">
        <w:t>Place the correct buffer in the relevant circle.</w:t>
      </w:r>
    </w:p>
    <w:p w14:paraId="34E8DCA7" w14:textId="3343C510" w:rsidR="00256461" w:rsidRPr="00256461" w:rsidRDefault="00256461" w:rsidP="00256461">
      <w:pPr>
        <w:pStyle w:val="ListParagraph"/>
        <w:numPr>
          <w:ilvl w:val="0"/>
          <w:numId w:val="16"/>
        </w:numPr>
      </w:pPr>
      <w:r w:rsidRPr="00256461">
        <w:t>Add 1 drop of plant indicator to each circle.</w:t>
      </w:r>
    </w:p>
    <w:p w14:paraId="2D2799A6" w14:textId="304E23A3" w:rsidR="00256461" w:rsidRDefault="00256461" w:rsidP="00256461">
      <w:pPr>
        <w:pStyle w:val="ListParagraph"/>
        <w:numPr>
          <w:ilvl w:val="0"/>
          <w:numId w:val="16"/>
        </w:numPr>
      </w:pPr>
      <w:r w:rsidRPr="00256461">
        <w:t>Cut a wooden splint to a point and stir each circle before photographing the results.</w:t>
      </w:r>
    </w:p>
    <w:p w14:paraId="40B9E361" w14:textId="77777777" w:rsidR="00256461" w:rsidRPr="00256461" w:rsidRDefault="00256461" w:rsidP="00256461">
      <w:pPr>
        <w:pStyle w:val="ListParagraph"/>
        <w:ind w:left="1080"/>
      </w:pPr>
    </w:p>
    <w:p w14:paraId="766C11FF" w14:textId="2AFB4FC3" w:rsidR="00256461" w:rsidRDefault="00256461" w:rsidP="00256461">
      <w:pPr>
        <w:pStyle w:val="Heading3"/>
        <w:jc w:val="center"/>
        <w:rPr>
          <w:b w:val="0"/>
          <w:color w:val="auto"/>
          <w:lang w:val="en-GB"/>
        </w:rPr>
      </w:pPr>
      <w:r w:rsidRPr="00120047">
        <w:rPr>
          <w:noProof/>
        </w:rPr>
        <w:drawing>
          <wp:inline distT="0" distB="0" distL="0" distR="0" wp14:anchorId="062FA384" wp14:editId="127BBDDF">
            <wp:extent cx="5124450" cy="174467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5558" cy="1751860"/>
                    </a:xfrm>
                    <a:prstGeom prst="rect">
                      <a:avLst/>
                    </a:prstGeom>
                    <a:noFill/>
                    <a:ln>
                      <a:noFill/>
                    </a:ln>
                  </pic:spPr>
                </pic:pic>
              </a:graphicData>
            </a:graphic>
          </wp:inline>
        </w:drawing>
      </w:r>
    </w:p>
    <w:p w14:paraId="633E348B" w14:textId="75987FCF" w:rsidR="00256461" w:rsidRPr="00256461" w:rsidRDefault="00256461" w:rsidP="00256461">
      <w:pPr>
        <w:pStyle w:val="Heading3"/>
        <w:rPr>
          <w:b w:val="0"/>
          <w:color w:val="auto"/>
          <w:lang w:val="en-GB"/>
        </w:rPr>
      </w:pPr>
      <w:r w:rsidRPr="00256461">
        <w:rPr>
          <w:b w:val="0"/>
          <w:color w:val="auto"/>
          <w:lang w:val="en-GB"/>
        </w:rPr>
        <w:t>An example of a plant indicator pH profile obtained with the Butterfly Pea Flower is shown below.</w:t>
      </w:r>
    </w:p>
    <w:p w14:paraId="64729E06" w14:textId="522BD925" w:rsidR="00256461" w:rsidRPr="00256461" w:rsidRDefault="00256461" w:rsidP="00256461">
      <w:pPr>
        <w:pStyle w:val="Heading3"/>
        <w:jc w:val="center"/>
        <w:rPr>
          <w:b w:val="0"/>
          <w:color w:val="auto"/>
          <w:lang w:val="en-GB"/>
        </w:rPr>
      </w:pPr>
      <w:r w:rsidRPr="00120047">
        <w:rPr>
          <w:noProof/>
          <w:lang w:eastAsia="en-GB"/>
        </w:rPr>
        <w:drawing>
          <wp:inline distT="0" distB="0" distL="0" distR="0" wp14:anchorId="54859EA0" wp14:editId="6BE1F1CA">
            <wp:extent cx="5097539" cy="2876550"/>
            <wp:effectExtent l="0" t="0" r="8255" b="0"/>
            <wp:docPr id="10" name="Picture 10" descr="Butterfly pe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erfly pea flow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281" cy="2889383"/>
                    </a:xfrm>
                    <a:prstGeom prst="rect">
                      <a:avLst/>
                    </a:prstGeom>
                    <a:noFill/>
                    <a:ln>
                      <a:noFill/>
                    </a:ln>
                  </pic:spPr>
                </pic:pic>
              </a:graphicData>
            </a:graphic>
          </wp:inline>
        </w:drawing>
      </w:r>
    </w:p>
    <w:p w14:paraId="1C252ABE" w14:textId="77777777" w:rsidR="00256461" w:rsidRPr="00256461" w:rsidRDefault="00256461" w:rsidP="00256461">
      <w:pPr>
        <w:pStyle w:val="Caption"/>
        <w:jc w:val="center"/>
      </w:pPr>
      <w:r w:rsidRPr="00256461">
        <w:t>Butterfly pea pH range Image courtesy of Beth Sutherland and Pixie Murray</w:t>
      </w:r>
    </w:p>
    <w:p w14:paraId="762026E9" w14:textId="7270F8C4" w:rsidR="00256461" w:rsidRPr="00256461" w:rsidRDefault="00256461" w:rsidP="00256461">
      <w:pPr>
        <w:pStyle w:val="Heading1"/>
      </w:pPr>
      <w:r w:rsidRPr="00256461">
        <w:lastRenderedPageBreak/>
        <w:t>References</w:t>
      </w:r>
    </w:p>
    <w:p w14:paraId="4A819E79" w14:textId="3D6B352A" w:rsidR="00256461" w:rsidRPr="00256461" w:rsidRDefault="00256461" w:rsidP="00256461">
      <w:pPr>
        <w:pStyle w:val="Heading3"/>
        <w:spacing w:before="0" w:after="0"/>
        <w:rPr>
          <w:b w:val="0"/>
          <w:color w:val="auto"/>
          <w:lang w:val="en-GB"/>
        </w:rPr>
      </w:pPr>
      <w:r w:rsidRPr="00256461">
        <w:rPr>
          <w:b w:val="0"/>
          <w:color w:val="auto"/>
          <w:lang w:val="en-GB"/>
        </w:rPr>
        <w:t xml:space="preserve">[1] An article on different uses of red cabbage extracts beyond that as a pH indicator: </w:t>
      </w:r>
      <w:hyperlink r:id="rId10" w:history="1">
        <w:r w:rsidRPr="00FF2E65">
          <w:rPr>
            <w:rStyle w:val="Hyperlink"/>
            <w:b w:val="0"/>
            <w:lang w:val="en-GB"/>
          </w:rPr>
          <w:t>https://www.chemedx.org/article/aqueous-red-cabbage-extracts-more-just-ph-indicator</w:t>
        </w:r>
      </w:hyperlink>
      <w:r>
        <w:rPr>
          <w:b w:val="0"/>
          <w:color w:val="auto"/>
          <w:lang w:val="en-GB"/>
        </w:rPr>
        <w:t xml:space="preserve"> </w:t>
      </w:r>
      <w:r w:rsidRPr="00256461">
        <w:rPr>
          <w:b w:val="0"/>
          <w:color w:val="auto"/>
          <w:lang w:val="en-GB"/>
        </w:rPr>
        <w:t>.</w:t>
      </w:r>
    </w:p>
    <w:p w14:paraId="69A95C19" w14:textId="18E06F17" w:rsidR="00256461" w:rsidRPr="00256461" w:rsidRDefault="00256461" w:rsidP="00256461">
      <w:pPr>
        <w:pStyle w:val="Heading3"/>
        <w:spacing w:before="0" w:after="0"/>
        <w:rPr>
          <w:b w:val="0"/>
          <w:color w:val="auto"/>
          <w:lang w:val="en-GB"/>
        </w:rPr>
      </w:pPr>
      <w:r w:rsidRPr="00256461">
        <w:rPr>
          <w:b w:val="0"/>
          <w:color w:val="auto"/>
          <w:lang w:val="en-GB"/>
        </w:rPr>
        <w:t xml:space="preserve">[2] A series of posters of various anthocyanin indicator examples: </w:t>
      </w:r>
      <w:hyperlink r:id="rId11" w:history="1">
        <w:r w:rsidRPr="00FF2E65">
          <w:rPr>
            <w:rStyle w:val="Hyperlink"/>
            <w:b w:val="0"/>
            <w:lang w:val="en-GB"/>
          </w:rPr>
          <w:t>https://www.compoundchem.com/page/3/?s=anthocyanin</w:t>
        </w:r>
      </w:hyperlink>
      <w:r>
        <w:rPr>
          <w:b w:val="0"/>
          <w:color w:val="auto"/>
          <w:lang w:val="en-GB"/>
        </w:rPr>
        <w:t xml:space="preserve"> </w:t>
      </w:r>
    </w:p>
    <w:p w14:paraId="0F52825C" w14:textId="77777777" w:rsidR="00256461" w:rsidRPr="00256461" w:rsidRDefault="00256461" w:rsidP="00256461">
      <w:pPr>
        <w:pStyle w:val="Heading1"/>
      </w:pPr>
      <w:r w:rsidRPr="00256461">
        <w:t>Resources</w:t>
      </w:r>
    </w:p>
    <w:p w14:paraId="53FA02AD" w14:textId="77777777" w:rsidR="00256461" w:rsidRPr="00256461" w:rsidRDefault="00256461" w:rsidP="00256461">
      <w:pPr>
        <w:pStyle w:val="ListParagraph"/>
        <w:numPr>
          <w:ilvl w:val="0"/>
          <w:numId w:val="20"/>
        </w:numPr>
      </w:pPr>
      <w:r w:rsidRPr="00256461">
        <w:t xml:space="preserve">Try your hand at doing </w:t>
      </w:r>
      <w:hyperlink r:id="rId12" w:history="1">
        <w:r w:rsidRPr="00256461">
          <w:rPr>
            <w:rStyle w:val="Hyperlink"/>
          </w:rPr>
          <w:t>experiments in hydrogel spheres</w:t>
        </w:r>
      </w:hyperlink>
      <w:r w:rsidRPr="00256461">
        <w:t xml:space="preserve">. </w:t>
      </w:r>
    </w:p>
    <w:p w14:paraId="39457BE4" w14:textId="28519E3E" w:rsidR="00256461" w:rsidRPr="00256461" w:rsidRDefault="00256461" w:rsidP="00256461">
      <w:pPr>
        <w:pStyle w:val="ListParagraph"/>
        <w:numPr>
          <w:ilvl w:val="0"/>
          <w:numId w:val="20"/>
        </w:numPr>
        <w:rPr>
          <w:lang w:val="en-US"/>
        </w:rPr>
      </w:pPr>
      <w:r w:rsidRPr="00256461">
        <w:t xml:space="preserve">Bring other small-scale experiments into your classroom: </w:t>
      </w:r>
      <w:proofErr w:type="spellStart"/>
      <w:r w:rsidRPr="00256461">
        <w:t>Kalogirou</w:t>
      </w:r>
      <w:proofErr w:type="spellEnd"/>
      <w:r w:rsidRPr="00256461">
        <w:t xml:space="preserve"> E, Nicas E (2010) </w:t>
      </w:r>
      <w:hyperlink r:id="rId13" w:history="1">
        <w:r w:rsidRPr="00256461">
          <w:rPr>
            <w:rStyle w:val="Hyperlink"/>
            <w:lang w:val="en-US"/>
          </w:rPr>
          <w:t>Microscale chemistry: experiments for schools</w:t>
        </w:r>
      </w:hyperlink>
      <w:r w:rsidRPr="00256461">
        <w:rPr>
          <w:lang w:val="en-US"/>
        </w:rPr>
        <w:t xml:space="preserve">. </w:t>
      </w:r>
      <w:r w:rsidRPr="00256461">
        <w:rPr>
          <w:i/>
          <w:lang w:val="en-US"/>
        </w:rPr>
        <w:t xml:space="preserve">Science in School </w:t>
      </w:r>
      <w:r w:rsidRPr="00256461">
        <w:rPr>
          <w:b/>
          <w:lang w:val="en-US"/>
        </w:rPr>
        <w:t>16</w:t>
      </w:r>
      <w:r w:rsidRPr="00256461">
        <w:rPr>
          <w:lang w:val="en-US"/>
        </w:rPr>
        <w:t>:27-32.</w:t>
      </w:r>
    </w:p>
    <w:p w14:paraId="39AEB9E3" w14:textId="77777777" w:rsidR="00256461" w:rsidRPr="00256461" w:rsidRDefault="00256461" w:rsidP="00256461">
      <w:pPr>
        <w:pStyle w:val="ListParagraph"/>
        <w:numPr>
          <w:ilvl w:val="0"/>
          <w:numId w:val="20"/>
        </w:numPr>
      </w:pPr>
      <w:r w:rsidRPr="00256461">
        <w:t xml:space="preserve">Check out this infographic showing the </w:t>
      </w:r>
      <w:hyperlink r:id="rId14" w:history="1">
        <w:r w:rsidRPr="00256461">
          <w:rPr>
            <w:rStyle w:val="Hyperlink"/>
          </w:rPr>
          <w:t>colour changes</w:t>
        </w:r>
      </w:hyperlink>
      <w:r w:rsidRPr="00256461">
        <w:t xml:space="preserve"> of a variety of pH indicators.</w:t>
      </w:r>
    </w:p>
    <w:p w14:paraId="7CC1539B" w14:textId="77777777" w:rsidR="008161CD" w:rsidRPr="006E596A" w:rsidRDefault="008161CD">
      <w:pPr>
        <w:jc w:val="center"/>
        <w:rPr>
          <w:rFonts w:eastAsia="MS Gothic"/>
        </w:rPr>
      </w:pPr>
    </w:p>
    <w:sectPr w:rsidR="008161CD" w:rsidRPr="006E596A" w:rsidSect="002116BA">
      <w:headerReference w:type="default" r:id="rId15"/>
      <w:footerReference w:type="default" r:id="rId16"/>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ico URW T OT">
    <w:panose1 w:val="02000000000000000000"/>
    <w:charset w:val="00"/>
    <w:family w:val="modern"/>
    <w:notTrueType/>
    <w:pitch w:val="variable"/>
    <w:sig w:usb0="800000AF" w:usb1="50002048"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3ABED9D4" w:rsidR="008835DC" w:rsidRDefault="008835DC" w:rsidP="008835DC">
    <w:pPr>
      <w:pStyle w:val="Header"/>
    </w:pPr>
    <w:r>
      <w:t>Issue 5</w:t>
    </w:r>
    <w:r w:rsidR="00256461">
      <w:t>4</w:t>
    </w:r>
    <w:r>
      <w:t xml:space="preserve"> – </w:t>
    </w:r>
    <w:r w:rsidR="00256461">
      <w:t>01</w:t>
    </w:r>
    <w:r>
      <w:t>/</w:t>
    </w:r>
    <w:r w:rsidR="00256461">
      <w:t>09</w:t>
    </w:r>
    <w:r>
      <w:t>/</w:t>
    </w:r>
    <w:r w:rsidR="00256461">
      <w:t>21</w:t>
    </w:r>
  </w:p>
  <w:p w14:paraId="7C6F181C" w14:textId="2746A81C"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609ADB08" w14:textId="19F1F46B" w:rsidR="005C48B0" w:rsidRPr="005C48B0" w:rsidRDefault="005C48B0" w:rsidP="005C48B0">
    <w:pPr>
      <w:pStyle w:val="Header"/>
      <w:jc w:val="right"/>
    </w:pPr>
    <w:hyperlink r:id="rId2" w:history="1">
      <w:r w:rsidRPr="005C48B0">
        <w:rPr>
          <w:rStyle w:val="Hyperlink"/>
          <w:color w:val="auto"/>
          <w:u w:val="none"/>
        </w:rPr>
        <w:t>www.scienceinschool.org</w:t>
      </w:r>
    </w:hyperlink>
    <w:r w:rsidRPr="005C48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99011F0"/>
    <w:multiLevelType w:val="hybridMultilevel"/>
    <w:tmpl w:val="9F2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21BE2"/>
    <w:multiLevelType w:val="hybridMultilevel"/>
    <w:tmpl w:val="DC1CE2D4"/>
    <w:lvl w:ilvl="0" w:tplc="B3C8A7F6">
      <w:start w:val="8"/>
      <w:numFmt w:val="bullet"/>
      <w:lvlText w:val="•"/>
      <w:lvlJc w:val="left"/>
      <w:pPr>
        <w:ind w:left="1080" w:hanging="720"/>
      </w:pPr>
      <w:rPr>
        <w:rFonts w:ascii="Classico URW T OT" w:eastAsia="Times New Roman" w:hAnsi="Classico URW T O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15D18"/>
    <w:multiLevelType w:val="hybridMultilevel"/>
    <w:tmpl w:val="362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03D6C"/>
    <w:multiLevelType w:val="hybridMultilevel"/>
    <w:tmpl w:val="0DAAA0FE"/>
    <w:lvl w:ilvl="0" w:tplc="B3C8A7F6">
      <w:start w:val="8"/>
      <w:numFmt w:val="bullet"/>
      <w:lvlText w:val="•"/>
      <w:lvlJc w:val="left"/>
      <w:pPr>
        <w:ind w:left="1080" w:hanging="720"/>
      </w:pPr>
      <w:rPr>
        <w:rFonts w:ascii="Classico URW T OT" w:eastAsia="Times New Roman" w:hAnsi="Classico URW T O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13240"/>
    <w:multiLevelType w:val="hybridMultilevel"/>
    <w:tmpl w:val="F4D4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028D2"/>
    <w:multiLevelType w:val="hybridMultilevel"/>
    <w:tmpl w:val="68BC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CC2A18"/>
    <w:multiLevelType w:val="hybridMultilevel"/>
    <w:tmpl w:val="CC16EE38"/>
    <w:lvl w:ilvl="0" w:tplc="32B00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52847"/>
    <w:multiLevelType w:val="hybridMultilevel"/>
    <w:tmpl w:val="CA5E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3126B"/>
    <w:multiLevelType w:val="hybridMultilevel"/>
    <w:tmpl w:val="86DC1A9C"/>
    <w:lvl w:ilvl="0" w:tplc="B3C8A7F6">
      <w:start w:val="8"/>
      <w:numFmt w:val="bullet"/>
      <w:lvlText w:val="•"/>
      <w:lvlJc w:val="left"/>
      <w:pPr>
        <w:ind w:left="720" w:hanging="720"/>
      </w:pPr>
      <w:rPr>
        <w:rFonts w:ascii="Classico URW T OT" w:eastAsia="Times New Roman" w:hAnsi="Classico URW T OT"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6"/>
  </w:num>
  <w:num w:numId="4">
    <w:abstractNumId w:val="11"/>
  </w:num>
  <w:num w:numId="5">
    <w:abstractNumId w:val="17"/>
  </w:num>
  <w:num w:numId="6">
    <w:abstractNumId w:val="3"/>
  </w:num>
  <w:num w:numId="7">
    <w:abstractNumId w:val="1"/>
  </w:num>
  <w:num w:numId="8">
    <w:abstractNumId w:val="2"/>
  </w:num>
  <w:num w:numId="9">
    <w:abstractNumId w:val="13"/>
  </w:num>
  <w:num w:numId="10">
    <w:abstractNumId w:val="0"/>
  </w:num>
  <w:num w:numId="11">
    <w:abstractNumId w:val="3"/>
  </w:num>
  <w:num w:numId="12">
    <w:abstractNumId w:val="2"/>
  </w:num>
  <w:num w:numId="13">
    <w:abstractNumId w:val="19"/>
  </w:num>
  <w:num w:numId="14">
    <w:abstractNumId w:val="5"/>
  </w:num>
  <w:num w:numId="15">
    <w:abstractNumId w:val="10"/>
  </w:num>
  <w:num w:numId="16">
    <w:abstractNumId w:val="14"/>
  </w:num>
  <w:num w:numId="17">
    <w:abstractNumId w:val="18"/>
  </w:num>
  <w:num w:numId="18">
    <w:abstractNumId w:val="8"/>
  </w:num>
  <w:num w:numId="19">
    <w:abstractNumId w:val="4"/>
  </w:num>
  <w:num w:numId="20">
    <w:abstractNumId w:val="20"/>
  </w:num>
  <w:num w:numId="21">
    <w:abstractNumId w:val="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gFAHUkkLYtAAAA"/>
  </w:docVars>
  <w:rsids>
    <w:rsidRoot w:val="00672BB2"/>
    <w:rsid w:val="0000027A"/>
    <w:rsid w:val="00001F2A"/>
    <w:rsid w:val="00017E8D"/>
    <w:rsid w:val="00034DF7"/>
    <w:rsid w:val="000367ED"/>
    <w:rsid w:val="00084C2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56461"/>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410B"/>
    <w:rsid w:val="004C54F7"/>
    <w:rsid w:val="004E2361"/>
    <w:rsid w:val="005256DB"/>
    <w:rsid w:val="005327BE"/>
    <w:rsid w:val="005928D7"/>
    <w:rsid w:val="005C03C6"/>
    <w:rsid w:val="005C48B0"/>
    <w:rsid w:val="005D01E4"/>
    <w:rsid w:val="005D4028"/>
    <w:rsid w:val="00672BB2"/>
    <w:rsid w:val="00690926"/>
    <w:rsid w:val="006B6402"/>
    <w:rsid w:val="006C0937"/>
    <w:rsid w:val="006E596A"/>
    <w:rsid w:val="00710398"/>
    <w:rsid w:val="0072466E"/>
    <w:rsid w:val="007409C1"/>
    <w:rsid w:val="00742C51"/>
    <w:rsid w:val="007526C2"/>
    <w:rsid w:val="00754C31"/>
    <w:rsid w:val="00765333"/>
    <w:rsid w:val="007E5AA6"/>
    <w:rsid w:val="008161CD"/>
    <w:rsid w:val="00816788"/>
    <w:rsid w:val="00831DB2"/>
    <w:rsid w:val="00834BDF"/>
    <w:rsid w:val="008743C9"/>
    <w:rsid w:val="008835DC"/>
    <w:rsid w:val="00897D70"/>
    <w:rsid w:val="009304CB"/>
    <w:rsid w:val="009553A4"/>
    <w:rsid w:val="009843C7"/>
    <w:rsid w:val="009849E0"/>
    <w:rsid w:val="00992A05"/>
    <w:rsid w:val="009C4DBA"/>
    <w:rsid w:val="009E771E"/>
    <w:rsid w:val="00A04E9D"/>
    <w:rsid w:val="00A601B3"/>
    <w:rsid w:val="00A61ABA"/>
    <w:rsid w:val="00A62D02"/>
    <w:rsid w:val="00A74A46"/>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Heading3"/>
    <w:next w:val="List"/>
    <w:uiPriority w:val="34"/>
    <w:qFormat/>
    <w:rsid w:val="00256461"/>
    <w:pPr>
      <w:spacing w:before="0" w:after="0"/>
    </w:pPr>
    <w:rPr>
      <w:b w:val="0"/>
      <w:color w:val="auto"/>
      <w:lang w:val="en-GB"/>
    </w:r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paragraph" w:styleId="List">
    <w:name w:val="List"/>
    <w:basedOn w:val="Normal"/>
    <w:uiPriority w:val="99"/>
    <w:semiHidden/>
    <w:unhideWhenUsed/>
    <w:rsid w:val="00A74A4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ienceinschool.org/2010/issue16/microsca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ta.scienceinschool.org/wp-content/uploads/2021/08/Indicator-templates.pdf" TargetMode="External"/><Relationship Id="rId12" Type="http://schemas.openxmlformats.org/officeDocument/2006/relationships/hyperlink" Target="https://www.scienceinschool.org/content/small-beautiful-microscale-chemistry-cla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oundchem.com/page/3/?s=anthocyan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hemedx.org/article/aqueous-red-cabbage-extracts-more-just-ph-indicato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ompoundchem.com/2014/04/04/the-colours-chemistry-of-ph-indicato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cienceinschool.or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14</cp:revision>
  <dcterms:created xsi:type="dcterms:W3CDTF">2021-04-14T12:04:00Z</dcterms:created>
  <dcterms:modified xsi:type="dcterms:W3CDTF">2021-08-05T09:43:00Z</dcterms:modified>
</cp:coreProperties>
</file>