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C3765" w14:textId="77777777" w:rsidR="003656E4" w:rsidRDefault="003656E4" w:rsidP="003656E4">
      <w:pPr>
        <w:pStyle w:val="Heading1"/>
      </w:pPr>
      <w:r>
        <w:t>Setting up the particle accelerator</w:t>
      </w:r>
    </w:p>
    <w:p w14:paraId="5995F668" w14:textId="77777777" w:rsidR="003656E4" w:rsidRDefault="003656E4" w:rsidP="003656E4">
      <w:r>
        <w:t xml:space="preserve">It takes about 15 min to set up the particle accelerator. You could do it yourself in advance or get the students to do it </w:t>
      </w:r>
      <w:proofErr w:type="gramStart"/>
      <w:r>
        <w:t>themselves</w:t>
      </w:r>
      <w:proofErr w:type="gramEnd"/>
      <w:r>
        <w:t xml:space="preserve"> as part of the lesson.</w:t>
      </w:r>
    </w:p>
    <w:p w14:paraId="691AD004" w14:textId="77777777" w:rsidR="003656E4" w:rsidRDefault="003656E4" w:rsidP="003656E4">
      <w:pPr>
        <w:pStyle w:val="Heading2"/>
      </w:pPr>
      <w:r>
        <w:t>Materials</w:t>
      </w:r>
    </w:p>
    <w:p w14:paraId="44AB1A4C" w14:textId="77777777" w:rsidR="003656E4" w:rsidRDefault="003656E4" w:rsidP="003656E4">
      <w:r>
        <w:t>Most schools will already have most of the necessary materials, with the possible exception of the CRT and its power supply. For guidance, however, the product numbers of one supplier, PHYWE, are listed.</w:t>
      </w:r>
      <w:r w:rsidR="00B1484A">
        <w:t xml:space="preserve"> See: </w:t>
      </w:r>
      <w:r w:rsidR="00B1484A" w:rsidRPr="008E7376">
        <w:t>www.phywe.com</w:t>
      </w:r>
      <w:r w:rsidR="00B1484A">
        <w:t>.</w:t>
      </w:r>
    </w:p>
    <w:p w14:paraId="731C9E36" w14:textId="77777777" w:rsidR="003656E4" w:rsidRDefault="003656E4" w:rsidP="003656E4">
      <w:r>
        <w:t>If your school is not able to purchase a CRT, you could try a comparable demonstration to activity 3 using an old television screen</w:t>
      </w:r>
      <w:r w:rsidRPr="00E1194C">
        <w:rPr>
          <w:vertAlign w:val="superscript"/>
        </w:rPr>
        <w:t>w</w:t>
      </w:r>
      <w:r>
        <w:rPr>
          <w:vertAlign w:val="superscript"/>
        </w:rPr>
        <w:t>2</w:t>
      </w:r>
      <w:r>
        <w:t>.</w:t>
      </w:r>
    </w:p>
    <w:p w14:paraId="2BEE7E32" w14:textId="77777777" w:rsidR="003656E4" w:rsidRPr="00741924" w:rsidRDefault="003656E4" w:rsidP="003656E4">
      <w:pPr>
        <w:pStyle w:val="ListBullet"/>
      </w:pPr>
      <w:r>
        <w:t>CRT</w:t>
      </w:r>
      <w:r w:rsidRPr="00741924">
        <w:t xml:space="preserve"> (Braun’s tube) with sockets (PHYWE 06987-00)</w:t>
      </w:r>
    </w:p>
    <w:p w14:paraId="776C1250" w14:textId="77777777" w:rsidR="003656E4" w:rsidRPr="00741924" w:rsidRDefault="003656E4" w:rsidP="003656E4">
      <w:pPr>
        <w:pStyle w:val="ListBullet"/>
      </w:pPr>
      <w:r w:rsidRPr="00741924">
        <w:t>0-600 V DC power supply unit for the CRT (PHYWE 13672-93)</w:t>
      </w:r>
    </w:p>
    <w:p w14:paraId="08077237" w14:textId="77777777" w:rsidR="003656E4" w:rsidRPr="00741924" w:rsidRDefault="003656E4" w:rsidP="003656E4">
      <w:pPr>
        <w:pStyle w:val="ListBullet"/>
        <w:rPr>
          <w:bCs/>
          <w:color w:val="000000"/>
          <w:shd w:val="clear" w:color="auto" w:fill="FFFFFF"/>
        </w:rPr>
      </w:pPr>
      <w:r w:rsidRPr="00741924">
        <w:t>Power supply unit for the CRT deflection plates (PHYWE 06986-93</w:t>
      </w:r>
      <w:r w:rsidRPr="00741924">
        <w:rPr>
          <w:bCs/>
          <w:color w:val="000000"/>
          <w:shd w:val="clear" w:color="auto" w:fill="FFFFFF"/>
        </w:rPr>
        <w:t>)</w:t>
      </w:r>
    </w:p>
    <w:p w14:paraId="20B551DE" w14:textId="77777777" w:rsidR="003656E4" w:rsidRPr="00741924" w:rsidRDefault="003656E4" w:rsidP="003656E4">
      <w:pPr>
        <w:pStyle w:val="ListBullet"/>
      </w:pPr>
      <w:r w:rsidRPr="00741924">
        <w:t>Two electromagnetic coils with 1200 turns (PHYWE 06517-01)</w:t>
      </w:r>
    </w:p>
    <w:p w14:paraId="671279BA" w14:textId="77777777" w:rsidR="003656E4" w:rsidRPr="007A2B2B" w:rsidRDefault="003656E4" w:rsidP="003656E4">
      <w:pPr>
        <w:pStyle w:val="ListBullet"/>
        <w:rPr>
          <w:rFonts w:eastAsia="Calibri"/>
        </w:rPr>
      </w:pPr>
      <w:r w:rsidRPr="00741924">
        <w:t xml:space="preserve">Power supply unit for </w:t>
      </w:r>
      <w:r>
        <w:t xml:space="preserve">the </w:t>
      </w:r>
      <w:r w:rsidRPr="00741924">
        <w:t>electromagnet</w:t>
      </w:r>
      <w:r>
        <w:t>ic coil</w:t>
      </w:r>
      <w:r w:rsidRPr="00741924">
        <w:t xml:space="preserve">s (PHYWE </w:t>
      </w:r>
      <w:r w:rsidRPr="007A2B2B">
        <w:rPr>
          <w:rFonts w:eastAsia="Calibri"/>
        </w:rPr>
        <w:t>13531-93)</w:t>
      </w:r>
    </w:p>
    <w:p w14:paraId="4AD4CABB" w14:textId="77777777" w:rsidR="003656E4" w:rsidRPr="00741924" w:rsidRDefault="003656E4" w:rsidP="003656E4">
      <w:pPr>
        <w:pStyle w:val="ListBullet"/>
      </w:pPr>
      <w:r w:rsidRPr="00741924">
        <w:t>Three retort stands with clamps</w:t>
      </w:r>
    </w:p>
    <w:p w14:paraId="607252EE" w14:textId="77777777" w:rsidR="003656E4" w:rsidRPr="00741924" w:rsidRDefault="003656E4" w:rsidP="003656E4">
      <w:pPr>
        <w:pStyle w:val="ListBullet"/>
      </w:pPr>
      <w:r w:rsidRPr="00741924">
        <w:t>Bar magnet</w:t>
      </w:r>
    </w:p>
    <w:p w14:paraId="1CE45CFD" w14:textId="77777777" w:rsidR="003656E4" w:rsidRPr="00741924" w:rsidRDefault="003656E4" w:rsidP="003656E4">
      <w:pPr>
        <w:pStyle w:val="ListBullet"/>
      </w:pPr>
      <w:r w:rsidRPr="00741924">
        <w:t>Connecting leads</w:t>
      </w:r>
    </w:p>
    <w:p w14:paraId="7FD0184B" w14:textId="77777777" w:rsidR="003656E4" w:rsidRDefault="003656E4" w:rsidP="003656E4">
      <w:pPr>
        <w:pStyle w:val="Heading2"/>
      </w:pPr>
      <w:r w:rsidRPr="00B41A3E">
        <w:t>Procedure</w:t>
      </w:r>
    </w:p>
    <w:p w14:paraId="6D40F2E6" w14:textId="77777777" w:rsidR="003656E4" w:rsidRPr="000A410A" w:rsidRDefault="003656E4" w:rsidP="003656E4">
      <w:pPr>
        <w:pStyle w:val="Heading3"/>
      </w:pPr>
      <w:r>
        <w:t>Set</w:t>
      </w:r>
      <w:r w:rsidRPr="00C5261F">
        <w:t>up</w:t>
      </w:r>
    </w:p>
    <w:p w14:paraId="682381C9" w14:textId="77777777" w:rsidR="003656E4" w:rsidRDefault="003656E4" w:rsidP="003656E4">
      <w:pPr>
        <w:pStyle w:val="ListNumber"/>
        <w:numPr>
          <w:ilvl w:val="0"/>
          <w:numId w:val="2"/>
        </w:numPr>
      </w:pPr>
      <w:r>
        <w:t>Clamp the CRT to one of the retort stands.</w:t>
      </w:r>
    </w:p>
    <w:p w14:paraId="3536F601" w14:textId="77777777" w:rsidR="003656E4" w:rsidRDefault="003656E4" w:rsidP="003656E4">
      <w:pPr>
        <w:pStyle w:val="ListNumber"/>
        <w:numPr>
          <w:ilvl w:val="0"/>
          <w:numId w:val="2"/>
        </w:numPr>
      </w:pPr>
      <w:r>
        <w:t>Clamp the electromagnetic coils to the remaining two retort stands. Position the central axis of the coils so that they intersect the CRT between the anode and the deflection plates.</w:t>
      </w:r>
    </w:p>
    <w:p w14:paraId="1888531E" w14:textId="77777777" w:rsidR="003656E4" w:rsidRDefault="003656E4" w:rsidP="003656E4">
      <w:pPr>
        <w:pStyle w:val="ListNumber"/>
        <w:numPr>
          <w:ilvl w:val="0"/>
          <w:numId w:val="2"/>
        </w:numPr>
      </w:pPr>
      <w:r>
        <w:t>Connect the CRT to the CRT power supply unit and the deflection plate power supply unit. Connect the electromagnetic coils to their power supply.</w:t>
      </w:r>
    </w:p>
    <w:p w14:paraId="40E955B4" w14:textId="77777777" w:rsidR="003656E4" w:rsidRDefault="003656E4" w:rsidP="003656E4">
      <w:r w:rsidRPr="00345AC5">
        <w:rPr>
          <w:b/>
        </w:rPr>
        <w:t xml:space="preserve">Safety note: </w:t>
      </w:r>
      <w:r>
        <w:t xml:space="preserve">Do not touch the CRT or cables during </w:t>
      </w:r>
      <w:proofErr w:type="gramStart"/>
      <w:r>
        <w:t>operation</w:t>
      </w:r>
      <w:proofErr w:type="gramEnd"/>
      <w:r>
        <w:t xml:space="preserve"> as there is a risk of electrocution. Handle the CRT very carefully to avoid it imploding, as there is a high vacuum inside.</w:t>
      </w:r>
    </w:p>
    <w:p w14:paraId="5289AFE2" w14:textId="00B27C5C" w:rsidR="003656E4" w:rsidRDefault="003656E4" w:rsidP="003656E4">
      <w:r w:rsidRPr="006634F7">
        <w:t xml:space="preserve">See also the general </w:t>
      </w:r>
      <w:r w:rsidRPr="00345AC5">
        <w:rPr>
          <w:i/>
        </w:rPr>
        <w:t>Science in School</w:t>
      </w:r>
      <w:r w:rsidRPr="006634F7">
        <w:t xml:space="preserve"> safety note.</w:t>
      </w:r>
    </w:p>
    <w:p w14:paraId="072D549C" w14:textId="77777777" w:rsidR="003656E4" w:rsidRDefault="003656E4" w:rsidP="003656E4">
      <w:pPr>
        <w:pStyle w:val="Heading3"/>
      </w:pPr>
      <w:r w:rsidRPr="00C5261F">
        <w:t>Operation</w:t>
      </w:r>
    </w:p>
    <w:p w14:paraId="7113A089" w14:textId="77777777" w:rsidR="003656E4" w:rsidRPr="00502C64" w:rsidRDefault="003656E4" w:rsidP="003656E4">
      <w:r>
        <w:t>On the CRT power supply unit:</w:t>
      </w:r>
    </w:p>
    <w:p w14:paraId="1902ACFF" w14:textId="77777777" w:rsidR="003656E4" w:rsidRDefault="003656E4" w:rsidP="003656E4">
      <w:pPr>
        <w:pStyle w:val="ListNumber"/>
      </w:pPr>
      <w:r>
        <w:lastRenderedPageBreak/>
        <w:t xml:space="preserve">Set the voltage of the </w:t>
      </w:r>
      <w:r w:rsidRPr="005458B4">
        <w:t>auxiliary anode</w:t>
      </w:r>
      <w:r>
        <w:t xml:space="preserve"> – the anode of the control grid or </w:t>
      </w:r>
      <w:proofErr w:type="spellStart"/>
      <w:r>
        <w:t>wehnelt</w:t>
      </w:r>
      <w:proofErr w:type="spellEnd"/>
      <w:r>
        <w:t xml:space="preserve"> cylinder – </w:t>
      </w:r>
      <w:r w:rsidRPr="005458B4">
        <w:t>to</w:t>
      </w:r>
      <w:r>
        <w:t xml:space="preserve"> 10 V.</w:t>
      </w:r>
    </w:p>
    <w:p w14:paraId="16B3649E" w14:textId="77777777" w:rsidR="003656E4" w:rsidRDefault="003656E4" w:rsidP="003656E4">
      <w:pPr>
        <w:pStyle w:val="ListNumber"/>
        <w:numPr>
          <w:ilvl w:val="0"/>
          <w:numId w:val="2"/>
        </w:numPr>
      </w:pPr>
      <w:r>
        <w:t>Set the voltage of the anode to 30–50 V.</w:t>
      </w:r>
    </w:p>
    <w:p w14:paraId="7B27BACA" w14:textId="77777777" w:rsidR="003656E4" w:rsidRDefault="003656E4" w:rsidP="003656E4">
      <w:pPr>
        <w:pStyle w:val="ListNumber"/>
        <w:numPr>
          <w:ilvl w:val="0"/>
          <w:numId w:val="2"/>
        </w:numPr>
      </w:pPr>
      <w:r>
        <w:t>Set the cathode voltage to 200–300 V.</w:t>
      </w:r>
    </w:p>
    <w:p w14:paraId="3E35DCD5" w14:textId="77777777" w:rsidR="003656E4" w:rsidRDefault="003656E4" w:rsidP="003656E4">
      <w:pPr>
        <w:pStyle w:val="ListNumber"/>
        <w:numPr>
          <w:ilvl w:val="0"/>
          <w:numId w:val="2"/>
        </w:numPr>
      </w:pPr>
      <w:r>
        <w:t xml:space="preserve">Connect the power unit to a source of electricity. </w:t>
      </w:r>
    </w:p>
    <w:p w14:paraId="39ABDCCB" w14:textId="37874955" w:rsidR="001E70E6" w:rsidRPr="0038193D" w:rsidRDefault="001E70E6" w:rsidP="003656E4">
      <w:pPr>
        <w:pStyle w:val="ListNumber"/>
        <w:numPr>
          <w:ilvl w:val="0"/>
          <w:numId w:val="2"/>
        </w:numPr>
      </w:pPr>
      <w:r w:rsidRPr="0038193D">
        <w:t>Adjust the</w:t>
      </w:r>
      <w:r>
        <w:t xml:space="preserve"> voltage of both anodes until a sharp spot is produced on </w:t>
      </w:r>
      <w:r w:rsidRPr="00972E3B">
        <w:t xml:space="preserve">the </w:t>
      </w:r>
      <w:r w:rsidRPr="0038193D">
        <w:t>screen</w:t>
      </w:r>
      <w:r>
        <w:t>.</w:t>
      </w:r>
      <w:bookmarkStart w:id="0" w:name="_GoBack"/>
      <w:bookmarkEnd w:id="0"/>
    </w:p>
    <w:p w14:paraId="5C7263DD" w14:textId="5A5994BC" w:rsidR="003656E4" w:rsidRPr="007A2B2B" w:rsidRDefault="003656E4" w:rsidP="003656E4">
      <w:pPr>
        <w:pStyle w:val="ListNumber"/>
        <w:numPr>
          <w:ilvl w:val="0"/>
          <w:numId w:val="2"/>
        </w:numPr>
        <w:rPr>
          <w:highlight w:val="lightGray"/>
        </w:rPr>
      </w:pPr>
      <w:r w:rsidRPr="007A6B13">
        <w:t>Increase the frequency and amplitude to build up a time base</w:t>
      </w:r>
      <w:r>
        <w:t xml:space="preserve">, </w:t>
      </w:r>
      <w:proofErr w:type="spellStart"/>
      <w:r>
        <w:t>ie</w:t>
      </w:r>
      <w:proofErr w:type="spellEnd"/>
      <w:r>
        <w:t xml:space="preserve"> draw a waveform with the beam</w:t>
      </w:r>
      <w:r w:rsidRPr="007A6B13">
        <w:t xml:space="preserve"> </w:t>
      </w:r>
    </w:p>
    <w:p w14:paraId="2B6DF99E" w14:textId="77777777" w:rsidR="00F2159A" w:rsidRDefault="00F2159A"/>
    <w:sectPr w:rsidR="00F2159A" w:rsidSect="00200E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D620A4"/>
    <w:lvl w:ilvl="0">
      <w:start w:val="1"/>
      <w:numFmt w:val="decimal"/>
      <w:pStyle w:val="ListNumber"/>
      <w:lvlText w:val="%1."/>
      <w:lvlJc w:val="left"/>
      <w:pPr>
        <w:tabs>
          <w:tab w:val="num" w:pos="360"/>
        </w:tabs>
        <w:ind w:left="360" w:hanging="360"/>
      </w:pPr>
    </w:lvl>
  </w:abstractNum>
  <w:abstractNum w:abstractNumId="1">
    <w:nsid w:val="FFFFFF89"/>
    <w:multiLevelType w:val="singleLevel"/>
    <w:tmpl w:val="177C4A9E"/>
    <w:lvl w:ilvl="0">
      <w:start w:val="1"/>
      <w:numFmt w:val="bullet"/>
      <w:pStyle w:val="ListBullet"/>
      <w:lvlText w:val=""/>
      <w:lvlJc w:val="left"/>
      <w:pPr>
        <w:tabs>
          <w:tab w:val="num" w:pos="360"/>
        </w:tabs>
        <w:ind w:left="360" w:hanging="360"/>
      </w:pPr>
      <w:rPr>
        <w:rFonts w:ascii="Symbol" w:hAnsi="Symbol" w:hint="default"/>
      </w:rPr>
    </w:lvl>
  </w:abstractNum>
  <w:num w:numId="1">
    <w:abstractNumId w:val="0"/>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E4"/>
    <w:rsid w:val="001E70E6"/>
    <w:rsid w:val="00200E7E"/>
    <w:rsid w:val="003656E4"/>
    <w:rsid w:val="00B1484A"/>
    <w:rsid w:val="00F2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11D5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E4"/>
    <w:pPr>
      <w:spacing w:after="200" w:line="276" w:lineRule="auto"/>
    </w:pPr>
    <w:rPr>
      <w:rFonts w:eastAsiaTheme="minorHAnsi"/>
      <w:sz w:val="22"/>
      <w:szCs w:val="22"/>
      <w:lang w:val="en-GB"/>
    </w:rPr>
  </w:style>
  <w:style w:type="paragraph" w:styleId="Heading1">
    <w:name w:val="heading 1"/>
    <w:basedOn w:val="Normal"/>
    <w:next w:val="Normal"/>
    <w:link w:val="Heading1Char"/>
    <w:qFormat/>
    <w:rsid w:val="003656E4"/>
    <w:pPr>
      <w:keepNext/>
      <w:spacing w:before="240" w:after="60" w:line="240" w:lineRule="auto"/>
      <w:outlineLvl w:val="0"/>
    </w:pPr>
    <w:rPr>
      <w:rFonts w:ascii="Arial" w:eastAsia="Times New Roman" w:hAnsi="Arial" w:cs="Times New Roman"/>
      <w:b/>
      <w:kern w:val="32"/>
      <w:sz w:val="28"/>
      <w:szCs w:val="32"/>
    </w:rPr>
  </w:style>
  <w:style w:type="paragraph" w:styleId="Heading2">
    <w:name w:val="heading 2"/>
    <w:basedOn w:val="Normal"/>
    <w:next w:val="Normal"/>
    <w:link w:val="Heading2Char"/>
    <w:qFormat/>
    <w:rsid w:val="003656E4"/>
    <w:pPr>
      <w:keepNext/>
      <w:spacing w:before="240" w:after="60" w:line="240" w:lineRule="auto"/>
      <w:outlineLvl w:val="1"/>
    </w:pPr>
    <w:rPr>
      <w:rFonts w:ascii="Arial" w:eastAsia="Times New Roman" w:hAnsi="Arial" w:cs="Times New Roman"/>
      <w:b/>
      <w:i/>
      <w:sz w:val="26"/>
      <w:szCs w:val="28"/>
    </w:rPr>
  </w:style>
  <w:style w:type="paragraph" w:styleId="Heading3">
    <w:name w:val="heading 3"/>
    <w:basedOn w:val="Normal"/>
    <w:next w:val="Normal"/>
    <w:link w:val="Heading3Char"/>
    <w:qFormat/>
    <w:rsid w:val="003656E4"/>
    <w:pPr>
      <w:keepNext/>
      <w:spacing w:before="240" w:after="60" w:line="240" w:lineRule="auto"/>
      <w:outlineLvl w:val="2"/>
    </w:pPr>
    <w:rPr>
      <w:rFonts w:ascii="Arial" w:eastAsia="Times New Roman" w:hAnsi="Arial"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6E4"/>
    <w:rPr>
      <w:rFonts w:ascii="Arial" w:eastAsia="Times New Roman" w:hAnsi="Arial" w:cs="Times New Roman"/>
      <w:b/>
      <w:kern w:val="32"/>
      <w:sz w:val="28"/>
      <w:szCs w:val="32"/>
      <w:lang w:val="en-GB"/>
    </w:rPr>
  </w:style>
  <w:style w:type="character" w:customStyle="1" w:styleId="Heading2Char">
    <w:name w:val="Heading 2 Char"/>
    <w:basedOn w:val="DefaultParagraphFont"/>
    <w:link w:val="Heading2"/>
    <w:rsid w:val="003656E4"/>
    <w:rPr>
      <w:rFonts w:ascii="Arial" w:eastAsia="Times New Roman" w:hAnsi="Arial" w:cs="Times New Roman"/>
      <w:b/>
      <w:i/>
      <w:sz w:val="26"/>
      <w:szCs w:val="28"/>
      <w:lang w:val="en-GB"/>
    </w:rPr>
  </w:style>
  <w:style w:type="character" w:customStyle="1" w:styleId="Heading3Char">
    <w:name w:val="Heading 3 Char"/>
    <w:basedOn w:val="DefaultParagraphFont"/>
    <w:link w:val="Heading3"/>
    <w:rsid w:val="003656E4"/>
    <w:rPr>
      <w:rFonts w:ascii="Arial" w:eastAsia="Times New Roman" w:hAnsi="Arial" w:cs="Times New Roman"/>
      <w:b/>
      <w:szCs w:val="26"/>
      <w:lang w:val="en-GB"/>
    </w:rPr>
  </w:style>
  <w:style w:type="paragraph" w:styleId="ListBullet">
    <w:name w:val="List Bullet"/>
    <w:basedOn w:val="Normal"/>
    <w:autoRedefine/>
    <w:rsid w:val="003656E4"/>
    <w:pPr>
      <w:numPr>
        <w:numId w:val="3"/>
      </w:numPr>
      <w:spacing w:after="120" w:line="240" w:lineRule="auto"/>
    </w:pPr>
    <w:rPr>
      <w:rFonts w:ascii="Times New Roman" w:eastAsia="Times New Roman" w:hAnsi="Times New Roman" w:cs="Times New Roman"/>
      <w:sz w:val="24"/>
      <w:szCs w:val="24"/>
    </w:rPr>
  </w:style>
  <w:style w:type="paragraph" w:styleId="ListNumber">
    <w:name w:val="List Number"/>
    <w:basedOn w:val="Normal"/>
    <w:rsid w:val="003656E4"/>
    <w:pPr>
      <w:numPr>
        <w:numId w:val="1"/>
      </w:numPr>
      <w:spacing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E4"/>
    <w:pPr>
      <w:spacing w:after="200" w:line="276" w:lineRule="auto"/>
    </w:pPr>
    <w:rPr>
      <w:rFonts w:eastAsiaTheme="minorHAnsi"/>
      <w:sz w:val="22"/>
      <w:szCs w:val="22"/>
      <w:lang w:val="en-GB"/>
    </w:rPr>
  </w:style>
  <w:style w:type="paragraph" w:styleId="Heading1">
    <w:name w:val="heading 1"/>
    <w:basedOn w:val="Normal"/>
    <w:next w:val="Normal"/>
    <w:link w:val="Heading1Char"/>
    <w:qFormat/>
    <w:rsid w:val="003656E4"/>
    <w:pPr>
      <w:keepNext/>
      <w:spacing w:before="240" w:after="60" w:line="240" w:lineRule="auto"/>
      <w:outlineLvl w:val="0"/>
    </w:pPr>
    <w:rPr>
      <w:rFonts w:ascii="Arial" w:eastAsia="Times New Roman" w:hAnsi="Arial" w:cs="Times New Roman"/>
      <w:b/>
      <w:kern w:val="32"/>
      <w:sz w:val="28"/>
      <w:szCs w:val="32"/>
    </w:rPr>
  </w:style>
  <w:style w:type="paragraph" w:styleId="Heading2">
    <w:name w:val="heading 2"/>
    <w:basedOn w:val="Normal"/>
    <w:next w:val="Normal"/>
    <w:link w:val="Heading2Char"/>
    <w:qFormat/>
    <w:rsid w:val="003656E4"/>
    <w:pPr>
      <w:keepNext/>
      <w:spacing w:before="240" w:after="60" w:line="240" w:lineRule="auto"/>
      <w:outlineLvl w:val="1"/>
    </w:pPr>
    <w:rPr>
      <w:rFonts w:ascii="Arial" w:eastAsia="Times New Roman" w:hAnsi="Arial" w:cs="Times New Roman"/>
      <w:b/>
      <w:i/>
      <w:sz w:val="26"/>
      <w:szCs w:val="28"/>
    </w:rPr>
  </w:style>
  <w:style w:type="paragraph" w:styleId="Heading3">
    <w:name w:val="heading 3"/>
    <w:basedOn w:val="Normal"/>
    <w:next w:val="Normal"/>
    <w:link w:val="Heading3Char"/>
    <w:qFormat/>
    <w:rsid w:val="003656E4"/>
    <w:pPr>
      <w:keepNext/>
      <w:spacing w:before="240" w:after="60" w:line="240" w:lineRule="auto"/>
      <w:outlineLvl w:val="2"/>
    </w:pPr>
    <w:rPr>
      <w:rFonts w:ascii="Arial" w:eastAsia="Times New Roman" w:hAnsi="Arial"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6E4"/>
    <w:rPr>
      <w:rFonts w:ascii="Arial" w:eastAsia="Times New Roman" w:hAnsi="Arial" w:cs="Times New Roman"/>
      <w:b/>
      <w:kern w:val="32"/>
      <w:sz w:val="28"/>
      <w:szCs w:val="32"/>
      <w:lang w:val="en-GB"/>
    </w:rPr>
  </w:style>
  <w:style w:type="character" w:customStyle="1" w:styleId="Heading2Char">
    <w:name w:val="Heading 2 Char"/>
    <w:basedOn w:val="DefaultParagraphFont"/>
    <w:link w:val="Heading2"/>
    <w:rsid w:val="003656E4"/>
    <w:rPr>
      <w:rFonts w:ascii="Arial" w:eastAsia="Times New Roman" w:hAnsi="Arial" w:cs="Times New Roman"/>
      <w:b/>
      <w:i/>
      <w:sz w:val="26"/>
      <w:szCs w:val="28"/>
      <w:lang w:val="en-GB"/>
    </w:rPr>
  </w:style>
  <w:style w:type="character" w:customStyle="1" w:styleId="Heading3Char">
    <w:name w:val="Heading 3 Char"/>
    <w:basedOn w:val="DefaultParagraphFont"/>
    <w:link w:val="Heading3"/>
    <w:rsid w:val="003656E4"/>
    <w:rPr>
      <w:rFonts w:ascii="Arial" w:eastAsia="Times New Roman" w:hAnsi="Arial" w:cs="Times New Roman"/>
      <w:b/>
      <w:szCs w:val="26"/>
      <w:lang w:val="en-GB"/>
    </w:rPr>
  </w:style>
  <w:style w:type="paragraph" w:styleId="ListBullet">
    <w:name w:val="List Bullet"/>
    <w:basedOn w:val="Normal"/>
    <w:autoRedefine/>
    <w:rsid w:val="003656E4"/>
    <w:pPr>
      <w:numPr>
        <w:numId w:val="3"/>
      </w:numPr>
      <w:spacing w:after="120" w:line="240" w:lineRule="auto"/>
    </w:pPr>
    <w:rPr>
      <w:rFonts w:ascii="Times New Roman" w:eastAsia="Times New Roman" w:hAnsi="Times New Roman" w:cs="Times New Roman"/>
      <w:sz w:val="24"/>
      <w:szCs w:val="24"/>
    </w:rPr>
  </w:style>
  <w:style w:type="paragraph" w:styleId="ListNumber">
    <w:name w:val="List Number"/>
    <w:basedOn w:val="Normal"/>
    <w:rsid w:val="003656E4"/>
    <w:pPr>
      <w:numPr>
        <w:numId w:val="1"/>
      </w:numPr>
      <w:spacing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1696</Characters>
  <Application>Microsoft Macintosh Word</Application>
  <DocSecurity>0</DocSecurity>
  <Lines>14</Lines>
  <Paragraphs>3</Paragraphs>
  <ScaleCrop>false</ScaleCrop>
  <Company>EMBL</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Howes</dc:creator>
  <cp:keywords/>
  <dc:description/>
  <cp:lastModifiedBy>Laura Howes</cp:lastModifiedBy>
  <cp:revision>3</cp:revision>
  <dcterms:created xsi:type="dcterms:W3CDTF">2014-07-31T11:52:00Z</dcterms:created>
  <dcterms:modified xsi:type="dcterms:W3CDTF">2014-09-23T15:13:00Z</dcterms:modified>
</cp:coreProperties>
</file>